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media/image1.png" ContentType="image/png"/>
  <Override PartName="/word/media/image2.png" ContentType="image/png"/>
  <Override PartName="/word/settings.xml" ContentType="application/vnd.openxmlformats-officedocument.wordprocessingml.settings+xml"/>
  <Override PartName="/word/header2.xml" ContentType="application/vnd.openxmlformats-officedocument.wordprocessingml.header+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Garamond" w:hAnsi="Garamond"/>
          <w:b/>
          <w:b/>
          <w:sz w:val="26"/>
          <w:szCs w:val="26"/>
        </w:rPr>
      </w:pPr>
      <w:r>
        <w:rPr>
          <w:rFonts w:ascii="Garamond" w:hAnsi="Garamond"/>
          <w:b/>
          <w:sz w:val="26"/>
          <w:szCs w:val="26"/>
        </w:rPr>
        <w:t>FY2</w:t>
      </w:r>
      <w:r>
        <w:rPr>
          <w:rFonts w:ascii="Garamond" w:hAnsi="Garamond"/>
          <w:b/>
          <w:sz w:val="26"/>
          <w:szCs w:val="26"/>
        </w:rPr>
        <w:t>1</w:t>
      </w:r>
      <w:r>
        <w:rPr>
          <w:rFonts w:ascii="Garamond" w:hAnsi="Garamond"/>
          <w:b/>
          <w:sz w:val="26"/>
          <w:szCs w:val="26"/>
        </w:rPr>
        <w:t xml:space="preserve"> Audit Process and Plan</w:t>
      </w:r>
    </w:p>
    <w:p>
      <w:pPr>
        <w:pStyle w:val="Normal"/>
        <w:rPr>
          <w:rFonts w:ascii="Garamond" w:hAnsi="Garamond"/>
          <w:b/>
          <w:b/>
        </w:rPr>
      </w:pPr>
      <w:r>
        <w:rPr>
          <w:rFonts w:ascii="Garamond" w:hAnsi="Garamond"/>
          <w:b/>
        </w:rPr>
      </w:r>
    </w:p>
    <w:p>
      <w:pPr>
        <w:pStyle w:val="ListParagraph"/>
        <w:numPr>
          <w:ilvl w:val="0"/>
          <w:numId w:val="1"/>
        </w:numPr>
        <w:rPr>
          <w:rFonts w:ascii="Garamond" w:hAnsi="Garamond"/>
          <w:sz w:val="24"/>
          <w:szCs w:val="24"/>
        </w:rPr>
      </w:pPr>
      <w:r>
        <w:rPr>
          <w:rFonts w:ascii="Garamond" w:hAnsi="Garamond"/>
          <w:sz w:val="24"/>
          <w:szCs w:val="24"/>
        </w:rPr>
        <w:t>Each provider to audit 30 cases selected by GHS according to the GHS audit tool</w:t>
      </w:r>
    </w:p>
    <w:p>
      <w:pPr>
        <w:pStyle w:val="ListParagraph"/>
        <w:numPr>
          <w:ilvl w:val="0"/>
          <w:numId w:val="1"/>
        </w:numPr>
        <w:rPr>
          <w:rFonts w:ascii="Garamond" w:hAnsi="Garamond"/>
          <w:sz w:val="24"/>
          <w:szCs w:val="24"/>
        </w:rPr>
      </w:pPr>
      <w:r>
        <w:rPr>
          <w:rFonts w:ascii="Garamond" w:hAnsi="Garamond"/>
          <w:sz w:val="24"/>
          <w:szCs w:val="24"/>
        </w:rPr>
        <w:t>GHS QM pulls 28 random open and 2 random closed records, via web-based report</w:t>
      </w:r>
    </w:p>
    <w:p>
      <w:pPr>
        <w:pStyle w:val="ListParagraph"/>
        <w:numPr>
          <w:ilvl w:val="0"/>
          <w:numId w:val="1"/>
        </w:numPr>
        <w:rPr>
          <w:rFonts w:ascii="Garamond" w:hAnsi="Garamond"/>
          <w:sz w:val="24"/>
          <w:szCs w:val="24"/>
        </w:rPr>
      </w:pPr>
      <w:r>
        <w:rPr>
          <w:rFonts w:ascii="Garamond" w:hAnsi="Garamond"/>
          <w:sz w:val="24"/>
          <w:szCs w:val="24"/>
        </w:rPr>
        <w:t xml:space="preserve">GHS auditors to also audit 10 </w:t>
      </w:r>
      <w:bookmarkStart w:id="0" w:name="_GoBack"/>
      <w:bookmarkEnd w:id="0"/>
      <w:r>
        <w:rPr>
          <w:rFonts w:ascii="Garamond" w:hAnsi="Garamond"/>
          <w:sz w:val="24"/>
          <w:szCs w:val="24"/>
        </w:rPr>
        <w:t>of those 30</w:t>
      </w:r>
    </w:p>
    <w:p>
      <w:pPr>
        <w:pStyle w:val="ListParagraph"/>
        <w:numPr>
          <w:ilvl w:val="1"/>
          <w:numId w:val="1"/>
        </w:numPr>
        <w:rPr>
          <w:rFonts w:ascii="Garamond" w:hAnsi="Garamond"/>
          <w:sz w:val="24"/>
          <w:szCs w:val="24"/>
        </w:rPr>
      </w:pPr>
      <w:r>
        <w:rPr>
          <w:rFonts w:ascii="Garamond" w:hAnsi="Garamond"/>
          <w:sz w:val="24"/>
          <w:szCs w:val="24"/>
        </w:rPr>
        <w:t>Audit results will be compared for validity</w:t>
      </w:r>
    </w:p>
    <w:p>
      <w:pPr>
        <w:pStyle w:val="ListParagraph"/>
        <w:numPr>
          <w:ilvl w:val="1"/>
          <w:numId w:val="1"/>
        </w:numPr>
        <w:rPr>
          <w:rFonts w:ascii="Garamond" w:hAnsi="Garamond"/>
          <w:sz w:val="24"/>
          <w:szCs w:val="24"/>
        </w:rPr>
      </w:pPr>
      <w:r>
        <w:rPr>
          <w:rFonts w:ascii="Garamond" w:hAnsi="Garamond"/>
          <w:sz w:val="24"/>
          <w:szCs w:val="24"/>
        </w:rPr>
        <w:t>GHS may clarify audit indicators and ask provider to re-audit if results are vastly different</w:t>
      </w:r>
    </w:p>
    <w:p>
      <w:pPr>
        <w:pStyle w:val="ListParagraph"/>
        <w:numPr>
          <w:ilvl w:val="0"/>
          <w:numId w:val="1"/>
        </w:numPr>
        <w:rPr>
          <w:rFonts w:ascii="Garamond" w:hAnsi="Garamond"/>
          <w:sz w:val="24"/>
          <w:szCs w:val="24"/>
        </w:rPr>
      </w:pPr>
      <w:r>
        <w:rPr>
          <w:rFonts w:ascii="Garamond" w:hAnsi="Garamond"/>
          <w:sz w:val="24"/>
          <w:szCs w:val="24"/>
        </w:rPr>
        <w:t>If provider scores below 95% a CAP will be requested with self-audits due every quarter</w:t>
      </w:r>
    </w:p>
    <w:p>
      <w:pPr>
        <w:pStyle w:val="ListParagraph"/>
        <w:numPr>
          <w:ilvl w:val="1"/>
          <w:numId w:val="1"/>
        </w:numPr>
        <w:rPr>
          <w:rFonts w:ascii="Garamond" w:hAnsi="Garamond"/>
          <w:sz w:val="24"/>
          <w:szCs w:val="24"/>
        </w:rPr>
      </w:pPr>
      <w:r>
        <w:rPr>
          <w:rFonts w:ascii="Garamond" w:hAnsi="Garamond"/>
          <w:sz w:val="24"/>
          <w:szCs w:val="24"/>
        </w:rPr>
        <w:t>Auditors may continue to audit a number of cases each quarter to ensure validity of responses</w:t>
      </w:r>
    </w:p>
    <w:p>
      <w:pPr>
        <w:pStyle w:val="ListParagraph"/>
        <w:numPr>
          <w:ilvl w:val="1"/>
          <w:numId w:val="1"/>
        </w:numPr>
        <w:rPr>
          <w:rFonts w:ascii="Garamond" w:hAnsi="Garamond"/>
          <w:sz w:val="24"/>
          <w:szCs w:val="24"/>
        </w:rPr>
      </w:pPr>
      <w:r>
        <w:rPr>
          <w:rFonts w:ascii="Garamond" w:hAnsi="Garamond"/>
          <w:sz w:val="24"/>
          <w:szCs w:val="24"/>
        </w:rPr>
        <w:t>If audit scores on specific indicators and overall do not improve in subsequent audits consequences will evolve further</w:t>
      </w:r>
    </w:p>
    <w:p>
      <w:pPr>
        <w:pStyle w:val="Normal"/>
        <w:jc w:val="both"/>
        <w:rPr>
          <w:rFonts w:ascii="Garamond" w:hAnsi="Garamond" w:cs="Calibri"/>
        </w:rPr>
      </w:pPr>
      <w:r>
        <w:rPr>
          <w:rFonts w:cs="Calibri" w:ascii="Garamond" w:hAnsi="Garamond"/>
        </w:rPr>
        <w:t xml:space="preserve">The review consists of three distinct parts: </w:t>
      </w:r>
    </w:p>
    <w:p>
      <w:pPr>
        <w:pStyle w:val="ListParagraph"/>
        <w:numPr>
          <w:ilvl w:val="0"/>
          <w:numId w:val="5"/>
        </w:numPr>
        <w:spacing w:lineRule="auto" w:line="240" w:before="0" w:after="0"/>
        <w:contextualSpacing/>
        <w:jc w:val="both"/>
        <w:rPr>
          <w:rFonts w:ascii="Garamond" w:hAnsi="Garamond" w:cs="Calibri"/>
        </w:rPr>
      </w:pPr>
      <w:r>
        <w:rPr>
          <w:rFonts w:cs="Calibri" w:ascii="Garamond" w:hAnsi="Garamond"/>
        </w:rPr>
        <w:t>Site Visit with Credentialing and Privileging Review</w:t>
      </w:r>
    </w:p>
    <w:p>
      <w:pPr>
        <w:pStyle w:val="Normal"/>
        <w:numPr>
          <w:ilvl w:val="0"/>
          <w:numId w:val="5"/>
        </w:numPr>
        <w:jc w:val="both"/>
        <w:rPr>
          <w:rFonts w:ascii="Garamond" w:hAnsi="Garamond" w:cs="Calibri"/>
        </w:rPr>
      </w:pPr>
      <w:r>
        <w:rPr>
          <w:rFonts w:cs="Calibri" w:ascii="Garamond" w:hAnsi="Garamond"/>
        </w:rPr>
        <w:t>Quality of Care Audit</w:t>
      </w:r>
    </w:p>
    <w:p>
      <w:pPr>
        <w:pStyle w:val="ListParagraph"/>
        <w:numPr>
          <w:ilvl w:val="0"/>
          <w:numId w:val="7"/>
        </w:numPr>
        <w:spacing w:lineRule="auto" w:line="240" w:before="0" w:after="0"/>
        <w:contextualSpacing/>
        <w:jc w:val="both"/>
        <w:rPr>
          <w:rFonts w:ascii="Garamond" w:hAnsi="Garamond" w:cs="Calibri"/>
        </w:rPr>
      </w:pPr>
      <w:r>
        <w:rPr>
          <w:rFonts w:cs="Calibri" w:ascii="Garamond" w:hAnsi="Garamond"/>
        </w:rPr>
        <w:t>Provider to self-audit 30 records designated by GHS utilizing the provided QOC MH Audit Tool. Review is to be completed by clinical staff within the program.</w:t>
      </w:r>
    </w:p>
    <w:p>
      <w:pPr>
        <w:pStyle w:val="Normal"/>
        <w:ind w:left="1080" w:hanging="0"/>
        <w:jc w:val="both"/>
        <w:rPr>
          <w:rFonts w:ascii="Garamond" w:hAnsi="Garamond" w:cs="Calibri"/>
        </w:rPr>
      </w:pPr>
      <w:r>
        <w:rPr>
          <w:rFonts w:cs="Calibri" w:ascii="Garamond" w:hAnsi="Garamond"/>
          <w:b/>
        </w:rPr>
        <w:t xml:space="preserve">Please note: </w:t>
      </w:r>
      <w:r>
        <w:rPr>
          <w:rFonts w:cs="Calibri" w:ascii="Garamond" w:hAnsi="Garamond"/>
        </w:rPr>
        <w:t>Only dates from one year previous to the date of this letter will be accepted in the audit. Any records added electronically or scanned after that date will not be considered in the review.</w:t>
      </w:r>
    </w:p>
    <w:p>
      <w:pPr>
        <w:pStyle w:val="ListParagraph"/>
        <w:numPr>
          <w:ilvl w:val="0"/>
          <w:numId w:val="7"/>
        </w:numPr>
        <w:spacing w:lineRule="auto" w:line="240" w:before="0" w:after="0"/>
        <w:contextualSpacing/>
        <w:jc w:val="both"/>
        <w:rPr>
          <w:rFonts w:ascii="Garamond" w:hAnsi="Garamond" w:cs="Calibri"/>
        </w:rPr>
      </w:pPr>
      <w:r>
        <w:rPr>
          <w:rFonts w:cs="Calibri" w:ascii="Garamond" w:hAnsi="Garamond"/>
        </w:rPr>
        <w:t>GHS Auditor to audit sample of your records utilizing the same tool</w:t>
      </w:r>
    </w:p>
    <w:p>
      <w:pPr>
        <w:pStyle w:val="ListParagraph"/>
        <w:numPr>
          <w:ilvl w:val="0"/>
          <w:numId w:val="8"/>
        </w:numPr>
        <w:spacing w:lineRule="auto" w:line="240" w:before="0" w:after="0"/>
        <w:contextualSpacing/>
        <w:jc w:val="both"/>
        <w:rPr>
          <w:rFonts w:ascii="Garamond" w:hAnsi="Garamond" w:cs="Calibri"/>
        </w:rPr>
      </w:pPr>
      <w:r>
        <w:rPr>
          <w:rFonts w:cs="Calibri" w:ascii="Garamond" w:hAnsi="Garamond"/>
        </w:rPr>
        <w:t>Optional formal exit consultation</w:t>
      </w:r>
    </w:p>
    <w:p>
      <w:pPr>
        <w:pStyle w:val="Normal"/>
        <w:jc w:val="both"/>
        <w:rPr>
          <w:rFonts w:ascii="Garamond" w:hAnsi="Garamond" w:cs="Calibri"/>
        </w:rPr>
      </w:pPr>
      <w:r>
        <w:rPr>
          <w:rFonts w:cs="Calibri" w:ascii="Garamond" w:hAnsi="Garamond"/>
          <w:u w:val="single"/>
        </w:rPr>
        <w:t>TIMELINE OF AUDIT PROCESS</w:t>
      </w:r>
      <w:r>
        <w:rPr>
          <w:rFonts w:cs="Calibri" w:ascii="Garamond" w:hAnsi="Garamond"/>
        </w:rPr>
        <w:t>:</w:t>
      </w:r>
    </w:p>
    <w:p>
      <w:pPr>
        <w:pStyle w:val="Normal"/>
        <w:numPr>
          <w:ilvl w:val="0"/>
          <w:numId w:val="6"/>
        </w:numPr>
        <w:jc w:val="both"/>
        <w:rPr>
          <w:rFonts w:ascii="Garamond" w:hAnsi="Garamond" w:cs="Calibri"/>
        </w:rPr>
      </w:pPr>
      <w:r>
        <w:rPr>
          <w:rFonts w:cs="Calibri" w:ascii="Garamond" w:hAnsi="Garamond"/>
        </w:rPr>
        <w:t>You will be given a list of 30 selected cases for self-audit review, on or before your site visit, either by email or in person from the auditors.</w:t>
      </w:r>
    </w:p>
    <w:p>
      <w:pPr>
        <w:pStyle w:val="Normal"/>
        <w:numPr>
          <w:ilvl w:val="0"/>
          <w:numId w:val="6"/>
        </w:numPr>
        <w:jc w:val="both"/>
        <w:rPr>
          <w:rFonts w:ascii="Garamond" w:hAnsi="Garamond" w:cs="Calibri"/>
        </w:rPr>
      </w:pPr>
      <w:r>
        <w:rPr>
          <w:rFonts w:cs="Calibri" w:ascii="Garamond" w:hAnsi="Garamond"/>
        </w:rPr>
        <w:t>The process allows 30 days to complete the review, meanwhile GHS auditors are also completing a chart review.</w:t>
      </w:r>
    </w:p>
    <w:p>
      <w:pPr>
        <w:pStyle w:val="Normal"/>
        <w:numPr>
          <w:ilvl w:val="0"/>
          <w:numId w:val="6"/>
        </w:numPr>
        <w:jc w:val="both"/>
        <w:rPr>
          <w:rFonts w:ascii="Garamond" w:hAnsi="Garamond" w:cs="Calibri"/>
        </w:rPr>
      </w:pPr>
      <w:r>
        <w:rPr>
          <w:rFonts w:cs="Calibri" w:ascii="Garamond" w:hAnsi="Garamond"/>
        </w:rPr>
        <w:t>Audit results from the provider and GHS will be compared for reliability.</w:t>
      </w:r>
    </w:p>
    <w:p>
      <w:pPr>
        <w:pStyle w:val="Normal"/>
        <w:numPr>
          <w:ilvl w:val="0"/>
          <w:numId w:val="6"/>
        </w:numPr>
        <w:jc w:val="both"/>
        <w:rPr>
          <w:rFonts w:ascii="Garamond" w:hAnsi="Garamond" w:cs="Calibri"/>
        </w:rPr>
      </w:pPr>
      <w:r>
        <w:rPr>
          <w:rFonts w:cs="Calibri" w:ascii="Garamond" w:hAnsi="Garamond"/>
        </w:rPr>
        <w:t xml:space="preserve">Your audit results will be communicated to you within 30 days of the conclusion of your audit. </w:t>
      </w:r>
    </w:p>
    <w:p>
      <w:pPr>
        <w:pStyle w:val="ListParagraph"/>
        <w:numPr>
          <w:ilvl w:val="0"/>
          <w:numId w:val="2"/>
        </w:numPr>
        <w:rPr>
          <w:rFonts w:ascii="Garamond" w:hAnsi="Garamond"/>
          <w:sz w:val="24"/>
          <w:szCs w:val="24"/>
        </w:rPr>
      </w:pPr>
      <w:r>
        <w:rPr>
          <w:rFonts w:ascii="Garamond" w:hAnsi="Garamond"/>
          <w:sz w:val="24"/>
          <w:szCs w:val="24"/>
        </w:rPr>
        <w:t>Focus Audits- Trends that require further investigation will result in focus audits throughout the year</w:t>
      </w:r>
    </w:p>
    <w:p>
      <w:pPr>
        <w:pStyle w:val="ListParagraph"/>
        <w:numPr>
          <w:ilvl w:val="0"/>
          <w:numId w:val="2"/>
        </w:numPr>
        <w:rPr>
          <w:rFonts w:ascii="Garamond" w:hAnsi="Garamond"/>
          <w:sz w:val="24"/>
          <w:szCs w:val="24"/>
        </w:rPr>
      </w:pPr>
      <w:r>
        <w:rPr>
          <w:rFonts w:ascii="Garamond" w:hAnsi="Garamond"/>
          <w:sz w:val="24"/>
          <w:szCs w:val="24"/>
        </w:rPr>
        <w:t>Planned focus audit- Trend/risk discovery for high risk or high utilization cases</w:t>
      </w:r>
    </w:p>
    <w:p>
      <w:pPr>
        <w:pStyle w:val="Normal"/>
        <w:ind w:firstLine="360"/>
        <w:rPr>
          <w:rFonts w:ascii="Garamond" w:hAnsi="Garamond"/>
        </w:rPr>
      </w:pPr>
      <w:r>
        <w:rPr>
          <w:rFonts w:ascii="Garamond" w:hAnsi="Garamond"/>
        </w:rPr>
        <w:t>Population:</w:t>
      </w:r>
    </w:p>
    <w:p>
      <w:pPr>
        <w:pStyle w:val="ListParagraph"/>
        <w:numPr>
          <w:ilvl w:val="0"/>
          <w:numId w:val="3"/>
        </w:numPr>
        <w:rPr>
          <w:rFonts w:ascii="Garamond" w:hAnsi="Garamond"/>
          <w:sz w:val="24"/>
          <w:szCs w:val="24"/>
        </w:rPr>
      </w:pPr>
      <w:r>
        <w:rPr>
          <w:rFonts w:ascii="Garamond" w:hAnsi="Garamond"/>
          <w:sz w:val="24"/>
          <w:szCs w:val="24"/>
        </w:rPr>
        <w:t>Frequent hospitalizations in the last year</w:t>
      </w:r>
    </w:p>
    <w:p>
      <w:pPr>
        <w:pStyle w:val="ListParagraph"/>
        <w:numPr>
          <w:ilvl w:val="0"/>
          <w:numId w:val="3"/>
        </w:numPr>
        <w:rPr>
          <w:rFonts w:ascii="Garamond" w:hAnsi="Garamond"/>
          <w:sz w:val="24"/>
          <w:szCs w:val="24"/>
        </w:rPr>
      </w:pPr>
      <w:r>
        <w:rPr>
          <w:rFonts w:ascii="Garamond" w:hAnsi="Garamond"/>
          <w:sz w:val="24"/>
          <w:szCs w:val="24"/>
        </w:rPr>
        <w:t>More than 5 psychotropic medications</w:t>
      </w:r>
    </w:p>
    <w:p>
      <w:pPr>
        <w:pStyle w:val="ListParagraph"/>
        <w:numPr>
          <w:ilvl w:val="0"/>
          <w:numId w:val="3"/>
        </w:numPr>
        <w:rPr>
          <w:rFonts w:ascii="Garamond" w:hAnsi="Garamond"/>
          <w:sz w:val="24"/>
          <w:szCs w:val="24"/>
        </w:rPr>
      </w:pPr>
      <w:r>
        <w:rPr>
          <w:rFonts w:ascii="Garamond" w:hAnsi="Garamond"/>
          <w:sz w:val="24"/>
          <w:szCs w:val="24"/>
        </w:rPr>
        <w:t>More than 4 or more address changes in one year</w:t>
      </w:r>
    </w:p>
    <w:p>
      <w:pPr>
        <w:pStyle w:val="Normal"/>
        <w:rPr>
          <w:rFonts w:ascii="Garamond" w:hAnsi="Garamond"/>
        </w:rPr>
      </w:pPr>
      <w:r>
        <w:rPr>
          <w:rFonts w:ascii="Garamond" w:hAnsi="Garamond"/>
        </w:rPr>
        <w:t xml:space="preserve">       </w:t>
      </w:r>
      <w:r>
        <w:rPr>
          <w:rFonts w:ascii="Garamond" w:hAnsi="Garamond"/>
        </w:rPr>
        <w:t>Audit will focus on:</w:t>
      </w:r>
    </w:p>
    <w:p>
      <w:pPr>
        <w:pStyle w:val="ListParagraph"/>
        <w:numPr>
          <w:ilvl w:val="0"/>
          <w:numId w:val="4"/>
        </w:numPr>
        <w:rPr>
          <w:rFonts w:ascii="Garamond" w:hAnsi="Garamond"/>
          <w:sz w:val="24"/>
          <w:szCs w:val="24"/>
        </w:rPr>
      </w:pPr>
      <w:r>
        <w:rPr>
          <w:rFonts w:ascii="Garamond" w:hAnsi="Garamond"/>
          <w:sz w:val="24"/>
          <w:szCs w:val="24"/>
        </w:rPr>
        <w:t>Goals pertinent to issues consumer states and assessments</w:t>
      </w:r>
    </w:p>
    <w:p>
      <w:pPr>
        <w:pStyle w:val="ListParagraph"/>
        <w:numPr>
          <w:ilvl w:val="0"/>
          <w:numId w:val="4"/>
        </w:numPr>
        <w:rPr>
          <w:rFonts w:ascii="Garamond" w:hAnsi="Garamond"/>
          <w:sz w:val="24"/>
          <w:szCs w:val="24"/>
        </w:rPr>
      </w:pPr>
      <w:r>
        <w:rPr>
          <w:rFonts w:ascii="Garamond" w:hAnsi="Garamond"/>
          <w:sz w:val="24"/>
          <w:szCs w:val="24"/>
        </w:rPr>
        <w:t>Progress notes moving toward goal progress (before and after hospitalizations)</w:t>
      </w:r>
    </w:p>
    <w:p>
      <w:pPr>
        <w:pStyle w:val="ListParagraph"/>
        <w:numPr>
          <w:ilvl w:val="0"/>
          <w:numId w:val="4"/>
        </w:numPr>
        <w:rPr>
          <w:rFonts w:ascii="Garamond" w:hAnsi="Garamond"/>
          <w:sz w:val="24"/>
          <w:szCs w:val="24"/>
        </w:rPr>
      </w:pPr>
      <w:r>
        <w:rPr>
          <w:rFonts w:ascii="Garamond" w:hAnsi="Garamond"/>
          <w:sz w:val="24"/>
          <w:szCs w:val="24"/>
        </w:rPr>
        <w:t xml:space="preserve">Goals changing as issues arise </w:t>
      </w:r>
    </w:p>
    <w:p>
      <w:pPr>
        <w:pStyle w:val="ListParagraph"/>
        <w:numPr>
          <w:ilvl w:val="0"/>
          <w:numId w:val="4"/>
        </w:numPr>
        <w:rPr>
          <w:rFonts w:ascii="Garamond" w:hAnsi="Garamond"/>
          <w:sz w:val="24"/>
          <w:szCs w:val="24"/>
        </w:rPr>
      </w:pPr>
      <w:r>
        <w:rPr>
          <w:rFonts w:ascii="Garamond" w:hAnsi="Garamond"/>
          <w:sz w:val="24"/>
          <w:szCs w:val="24"/>
        </w:rPr>
        <w:t>Contact following crisis or hospitalization and increase in frequency of contact</w:t>
      </w:r>
    </w:p>
    <w:p>
      <w:pPr>
        <w:pStyle w:val="ListParagraph"/>
        <w:numPr>
          <w:ilvl w:val="0"/>
          <w:numId w:val="4"/>
        </w:numPr>
        <w:rPr>
          <w:rFonts w:ascii="Garamond" w:hAnsi="Garamond"/>
          <w:sz w:val="24"/>
          <w:szCs w:val="24"/>
        </w:rPr>
      </w:pPr>
      <w:r>
        <w:rPr>
          <w:rFonts w:ascii="Garamond" w:hAnsi="Garamond"/>
          <w:sz w:val="24"/>
          <w:szCs w:val="24"/>
        </w:rPr>
        <w:t>Meaningful changes to relapse prevention or IPOS post hospitalization</w:t>
      </w:r>
    </w:p>
    <w:p>
      <w:pPr>
        <w:pStyle w:val="ListParagraph"/>
        <w:numPr>
          <w:ilvl w:val="0"/>
          <w:numId w:val="4"/>
        </w:numPr>
        <w:rPr>
          <w:rFonts w:ascii="Garamond" w:hAnsi="Garamond"/>
          <w:sz w:val="24"/>
          <w:szCs w:val="24"/>
        </w:rPr>
      </w:pPr>
      <w:r>
        <w:rPr>
          <w:rFonts w:ascii="Garamond" w:hAnsi="Garamond"/>
          <w:sz w:val="24"/>
          <w:szCs w:val="24"/>
        </w:rPr>
        <w:t>IPOS reviews showing progress towards goals and changes if goals need to adapt</w:t>
      </w:r>
    </w:p>
    <w:p>
      <w:pPr>
        <w:pStyle w:val="ListParagraph"/>
        <w:numPr>
          <w:ilvl w:val="0"/>
          <w:numId w:val="4"/>
        </w:numPr>
        <w:rPr>
          <w:rFonts w:ascii="Garamond" w:hAnsi="Garamond"/>
          <w:sz w:val="24"/>
          <w:szCs w:val="24"/>
        </w:rPr>
      </w:pPr>
      <w:r>
        <w:rPr>
          <w:rFonts w:ascii="Garamond" w:hAnsi="Garamond"/>
          <w:sz w:val="24"/>
          <w:szCs w:val="24"/>
        </w:rPr>
        <w:t>Frequency of medication reviews</w:t>
      </w:r>
    </w:p>
    <w:p>
      <w:pPr>
        <w:pStyle w:val="ListParagraph"/>
        <w:numPr>
          <w:ilvl w:val="0"/>
          <w:numId w:val="4"/>
        </w:numPr>
        <w:rPr>
          <w:rFonts w:ascii="Garamond" w:hAnsi="Garamond"/>
          <w:sz w:val="24"/>
          <w:szCs w:val="24"/>
        </w:rPr>
      </w:pPr>
      <w:r>
        <w:rPr>
          <w:rFonts w:ascii="Garamond" w:hAnsi="Garamond"/>
          <w:sz w:val="24"/>
          <w:szCs w:val="24"/>
        </w:rPr>
        <w:t>Medication; frequency of changes, number of medications</w:t>
      </w:r>
    </w:p>
    <w:p>
      <w:pPr>
        <w:pStyle w:val="ListParagraph"/>
        <w:numPr>
          <w:ilvl w:val="0"/>
          <w:numId w:val="4"/>
        </w:numPr>
        <w:rPr>
          <w:rFonts w:ascii="Garamond" w:hAnsi="Garamond"/>
          <w:sz w:val="24"/>
          <w:szCs w:val="24"/>
        </w:rPr>
      </w:pPr>
      <w:r>
        <w:rPr>
          <w:rFonts w:ascii="Garamond" w:hAnsi="Garamond"/>
          <w:sz w:val="24"/>
          <w:szCs w:val="24"/>
        </w:rPr>
        <w:t>Medication compliance</w:t>
      </w:r>
    </w:p>
    <w:p>
      <w:pPr>
        <w:pStyle w:val="ListParagraph"/>
        <w:numPr>
          <w:ilvl w:val="0"/>
          <w:numId w:val="4"/>
        </w:numPr>
        <w:rPr>
          <w:rFonts w:ascii="Garamond" w:hAnsi="Garamond"/>
          <w:sz w:val="24"/>
          <w:szCs w:val="24"/>
        </w:rPr>
      </w:pPr>
      <w:r>
        <w:rPr>
          <w:rFonts w:ascii="Garamond" w:hAnsi="Garamond"/>
          <w:sz w:val="24"/>
          <w:szCs w:val="24"/>
        </w:rPr>
        <w:t>Number of case managers in the past year</w:t>
      </w:r>
    </w:p>
    <w:p>
      <w:pPr>
        <w:pStyle w:val="Normal"/>
        <w:rPr>
          <w:rFonts w:ascii="Cambria" w:hAnsi="Cambria"/>
        </w:rPr>
      </w:pPr>
      <w:r>
        <w:rPr/>
      </w:r>
    </w:p>
    <w:sectPr>
      <w:headerReference w:type="default" r:id="rId2"/>
      <w:headerReference w:type="first" r:id="rId3"/>
      <w:type w:val="nextPage"/>
      <w:pgSz w:w="12240" w:h="15840"/>
      <w:pgMar w:left="1800" w:right="1800" w:header="0" w:top="57" w:footer="0" w:bottom="1440"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Garamond">
    <w:charset w:val="01"/>
    <w:family w:val="roman"/>
    <w:pitch w:val="variable"/>
  </w:font>
  <w:font w:name="Wingdings">
    <w:charset w:val="02"/>
    <w:family w:val="auto"/>
    <w:pitch w:val="variable"/>
  </w:font>
  <w:font w:name="Courier New">
    <w:charset w:val="01"/>
    <w:family w:val="auto"/>
    <w:pitch w:val="variable"/>
  </w:font>
  <w:font w:name="Symbol">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0" distR="0" simplePos="0" locked="0" layoutInCell="0" allowOverlap="1" relativeHeight="2">
          <wp:simplePos x="0" y="0"/>
          <wp:positionH relativeFrom="page">
            <wp:posOffset>-25400</wp:posOffset>
          </wp:positionH>
          <wp:positionV relativeFrom="page">
            <wp:align>top</wp:align>
          </wp:positionV>
          <wp:extent cx="7749540" cy="10058400"/>
          <wp:effectExtent l="0" t="0" r="0" b="0"/>
          <wp:wrapNone/>
          <wp:docPr id="1" name="Picture 22" descr="GHS_2nd-sheet_2-1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2" descr="GHS_2nd-sheet_2-13-13.png"/>
                  <pic:cNvPicPr>
                    <a:picLocks noChangeAspect="1" noChangeArrowheads="1"/>
                  </pic:cNvPicPr>
                </pic:nvPicPr>
                <pic:blipFill>
                  <a:blip r:embed="rId1"/>
                  <a:stretch>
                    <a:fillRect/>
                  </a:stretch>
                </pic:blipFill>
                <pic:spPr bwMode="auto">
                  <a:xfrm>
                    <a:off x="0" y="0"/>
                    <a:ext cx="7749540" cy="1005840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8640"/>
        <w:tab w:val="center" w:pos="4320" w:leader="none"/>
        <w:tab w:val="right" w:pos="10440" w:leader="none"/>
      </w:tabs>
      <w:spacing w:before="0" w:after="1440"/>
      <w:ind w:left="-1800" w:hanging="0"/>
      <w:rPr/>
    </w:pPr>
    <w:r>
      <w:rPr/>
      <mc:AlternateContent>
        <mc:Choice Requires="wps">
          <w:drawing>
            <wp:anchor behindDoc="1" distT="0" distB="0" distL="114300" distR="114300" simplePos="0" locked="0" layoutInCell="0" allowOverlap="1" relativeHeight="4">
              <wp:simplePos x="0" y="0"/>
              <wp:positionH relativeFrom="column">
                <wp:posOffset>-914400</wp:posOffset>
              </wp:positionH>
              <wp:positionV relativeFrom="paragraph">
                <wp:posOffset>635</wp:posOffset>
              </wp:positionV>
              <wp:extent cx="7536815" cy="2172335"/>
              <wp:effectExtent l="0" t="0" r="0" b="0"/>
              <wp:wrapTopAndBottom/>
              <wp:docPr id="2" name="Text Box 1"/>
              <a:graphic xmlns:a="http://schemas.openxmlformats.org/drawingml/2006/main">
                <a:graphicData uri="http://schemas.microsoft.com/office/word/2010/wordprocessingShape">
                  <wps:wsp>
                    <wps:cNvSpPr/>
                    <wps:spPr>
                      <a:xfrm>
                        <a:off x="0" y="0"/>
                        <a:ext cx="7536240" cy="2171880"/>
                      </a:xfrm>
                      <a:prstGeom prst="rect">
                        <a:avLst/>
                      </a:prstGeom>
                      <a:noFill/>
                      <a:ln w="0">
                        <a:noFill/>
                      </a:ln>
                    </wps:spPr>
                    <wps:style>
                      <a:lnRef idx="0"/>
                      <a:fillRef idx="0"/>
                      <a:effectRef idx="0"/>
                      <a:fontRef idx="minor"/>
                    </wps:style>
                    <wps:txbx>
                      <w:txbxContent>
                        <w:p>
                          <w:pPr>
                            <w:pStyle w:val="FrameContents"/>
                            <w:rPr/>
                          </w:pPr>
                          <w:r>
                            <w:rPr/>
                          </w:r>
                        </w:p>
                      </w:txbxContent>
                    </wps:txbx>
                    <wps:bodyPr tIns="91440" bIns="91440">
                      <a:noAutofit/>
                    </wps:bodyPr>
                  </wps:wsp>
                </a:graphicData>
              </a:graphic>
            </wp:anchor>
          </w:drawing>
        </mc:Choice>
        <mc:Fallback>
          <w:pict>
            <v:rect id="shape_0" ID="Text Box 1" stroked="f" style="position:absolute;margin-left:-72pt;margin-top:0pt;width:593.35pt;height:170.95pt">
              <w10:wrap type="none"/>
              <v:fill o:detectmouseclick="t" on="false"/>
              <v:stroke color="#3465a4" joinstyle="round" endcap="flat"/>
              <v:textbox>
                <w:txbxContent>
                  <w:p>
                    <w:pPr>
                      <w:pStyle w:val="FrameContents"/>
                      <w:rPr/>
                    </w:pPr>
                    <w:r>
                      <w:rPr/>
                    </w:r>
                  </w:p>
                </w:txbxContent>
              </v:textbox>
            </v:rect>
          </w:pict>
        </mc:Fallback>
      </mc:AlternateContent>
      <w:drawing>
        <wp:anchor behindDoc="1" distT="0" distB="0" distL="0" distR="0" simplePos="0" locked="0" layoutInCell="0" allowOverlap="1" relativeHeight="3">
          <wp:simplePos x="0" y="0"/>
          <wp:positionH relativeFrom="page">
            <wp:posOffset>7620</wp:posOffset>
          </wp:positionH>
          <wp:positionV relativeFrom="page">
            <wp:posOffset>0</wp:posOffset>
          </wp:positionV>
          <wp:extent cx="7764780" cy="10058400"/>
          <wp:effectExtent l="0" t="0" r="0" b="0"/>
          <wp:wrapNone/>
          <wp:docPr id="4" name="Picture 23" descr="GHS_letterhead_2-1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3" descr="GHS_letterhead_2-13-13.png"/>
                  <pic:cNvPicPr>
                    <a:picLocks noChangeAspect="1" noChangeArrowheads="1"/>
                  </pic:cNvPicPr>
                </pic:nvPicPr>
                <pic:blipFill>
                  <a:blip r:embed="rId1"/>
                  <a:stretch>
                    <a:fillRect/>
                  </a:stretch>
                </pic:blipFill>
                <pic:spPr bwMode="auto">
                  <a:xfrm>
                    <a:off x="0" y="0"/>
                    <a:ext cx="7764780" cy="100584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1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d730f"/>
    <w:pPr>
      <w:widowControl/>
      <w:bidi w:val="0"/>
      <w:spacing w:before="0" w:after="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f84759"/>
    <w:rPr/>
  </w:style>
  <w:style w:type="character" w:styleId="FooterChar" w:customStyle="1">
    <w:name w:val="Footer Char"/>
    <w:basedOn w:val="DefaultParagraphFont"/>
    <w:link w:val="Footer"/>
    <w:uiPriority w:val="99"/>
    <w:qFormat/>
    <w:rsid w:val="00f84759"/>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basedOn w:val="Normal"/>
    <w:link w:val="HeaderChar"/>
    <w:uiPriority w:val="99"/>
    <w:unhideWhenUsed/>
    <w:rsid w:val="00f84759"/>
    <w:pPr>
      <w:tabs>
        <w:tab w:val="clear" w:pos="720"/>
        <w:tab w:val="center" w:pos="4320" w:leader="none"/>
        <w:tab w:val="right" w:pos="8640" w:leader="none"/>
      </w:tabs>
    </w:pPr>
    <w:rPr/>
  </w:style>
  <w:style w:type="paragraph" w:styleId="Footer">
    <w:name w:val="Footer"/>
    <w:basedOn w:val="Normal"/>
    <w:link w:val="FooterChar"/>
    <w:uiPriority w:val="99"/>
    <w:unhideWhenUsed/>
    <w:rsid w:val="00f84759"/>
    <w:pPr>
      <w:tabs>
        <w:tab w:val="clear" w:pos="720"/>
        <w:tab w:val="center" w:pos="4320" w:leader="none"/>
        <w:tab w:val="right" w:pos="8640" w:leader="none"/>
      </w:tabs>
    </w:pPr>
    <w:rPr/>
  </w:style>
  <w:style w:type="paragraph" w:styleId="ListParagraph">
    <w:name w:val="List Paragraph"/>
    <w:basedOn w:val="Normal"/>
    <w:uiPriority w:val="34"/>
    <w:qFormat/>
    <w:rsid w:val="003118eb"/>
    <w:pPr>
      <w:spacing w:lineRule="auto" w:line="259" w:before="0" w:after="160"/>
      <w:ind w:left="720" w:hanging="0"/>
      <w:contextualSpacing/>
    </w:pPr>
    <w:rPr>
      <w:sz w:val="22"/>
      <w:szCs w:val="22"/>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FY16 MH Provider Audit Process.dotx</Template>
  <TotalTime>5</TotalTime>
  <Application>LibreOffice/7.0.0.3$MacOSX_X86_64 LibreOffice_project/8061b3e9204bef6b321a21033174034a5e2ea88e</Application>
  <Pages>2</Pages>
  <Words>451</Words>
  <Characters>2229</Characters>
  <CharactersWithSpaces>2620</CharactersWithSpaces>
  <Paragraphs>38</Paragraphs>
  <Company>GCCMH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2016-10-07T14:31:00Z</dcterms:created>
  <dc:creator>John Holiday</dc:creator>
  <dc:description/>
  <dc:language>en-US</dc:language>
  <cp:lastModifiedBy>John Holiday</cp:lastModifiedBy>
  <dcterms:modified xsi:type="dcterms:W3CDTF">2020-09-22T08:59:45Z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GCCMH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